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56E" w:rsidRDefault="00157867">
      <w:pPr>
        <w:spacing w:line="480" w:lineRule="auto"/>
        <w:jc w:val="both"/>
      </w:pPr>
      <w:bookmarkStart w:id="0" w:name="_GoBack"/>
      <w:bookmarkEnd w:id="0"/>
      <w:r>
        <w:rPr>
          <w:rFonts w:ascii="Arial" w:hAnsi="Arial" w:cs="Arial"/>
          <w:b/>
        </w:rPr>
        <w:t>Supplementary File S2</w:t>
      </w:r>
    </w:p>
    <w:p w:rsidR="009F456E" w:rsidRDefault="00157867">
      <w:pPr>
        <w:spacing w:line="48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Preservation of gene co-expression in salmon and tilapia</w:t>
      </w:r>
    </w:p>
    <w:p w:rsidR="009F456E" w:rsidRDefault="00157867">
      <w:pPr>
        <w:spacing w:line="480" w:lineRule="auto"/>
        <w:jc w:val="both"/>
      </w:pPr>
      <w:r>
        <w:rPr>
          <w:rFonts w:ascii="Arial" w:hAnsi="Arial" w:cs="Arial"/>
        </w:rPr>
        <w:t xml:space="preserve">An alternative to looking at the overlap of individual gene differential expression and gene ontology enrichment, is to examine cross-species </w:t>
      </w:r>
      <w:r>
        <w:rPr>
          <w:rFonts w:ascii="Arial" w:hAnsi="Arial" w:cs="Arial"/>
        </w:rPr>
        <w:t xml:space="preserve">preservation of weighted gene co-expression networks (Langfelder, Luo et al. 2011, Ellison, Tunstall et al. 2015). WGCNA of expressed tilapia genes with salmon 1:1 orthologs (n = 13,364) found 18 genes modules, of which 4 were associated with </w:t>
      </w:r>
      <w:r>
        <w:rPr>
          <w:rFonts w:ascii="Arial" w:hAnsi="Arial" w:cs="Arial"/>
          <w:i/>
        </w:rPr>
        <w:t>Saprolegnia</w:t>
      </w:r>
      <w:r>
        <w:rPr>
          <w:rFonts w:ascii="Arial" w:hAnsi="Arial" w:cs="Arial"/>
        </w:rPr>
        <w:t>-c</w:t>
      </w:r>
      <w:r>
        <w:rPr>
          <w:rFonts w:ascii="Arial" w:hAnsi="Arial" w:cs="Arial"/>
        </w:rPr>
        <w:t xml:space="preserve">hallenge status and significantly preserved in salmon (Table S2).  Two of these modules (T1 and T2) were negatively associated with </w:t>
      </w:r>
      <w:r>
        <w:rPr>
          <w:rFonts w:ascii="Arial" w:hAnsi="Arial" w:cs="Arial"/>
          <w:i/>
        </w:rPr>
        <w:t>Saprolegnia</w:t>
      </w:r>
      <w:r>
        <w:rPr>
          <w:rFonts w:ascii="Arial" w:hAnsi="Arial" w:cs="Arial"/>
        </w:rPr>
        <w:t xml:space="preserve"> in both species (i.e. lower expression in challenged fish compared to controls) and were enriched for immune-rel</w:t>
      </w:r>
      <w:r>
        <w:rPr>
          <w:rFonts w:ascii="Arial" w:hAnsi="Arial" w:cs="Arial"/>
        </w:rPr>
        <w:t>ated GO terms including “antigen processing and presentation”, “leukocyte activation”, and “</w:t>
      </w:r>
      <w:proofErr w:type="spellStart"/>
      <w:r>
        <w:rPr>
          <w:rFonts w:ascii="Arial" w:hAnsi="Arial" w:cs="Arial"/>
        </w:rPr>
        <w:t>INFy</w:t>
      </w:r>
      <w:proofErr w:type="spellEnd"/>
      <w:r>
        <w:rPr>
          <w:rFonts w:ascii="Arial" w:hAnsi="Arial" w:cs="Arial"/>
        </w:rPr>
        <w:t xml:space="preserve"> signalling pathway” (Table S2). In contrast, the two modules positively associated with </w:t>
      </w:r>
      <w:r>
        <w:rPr>
          <w:rFonts w:ascii="Arial" w:hAnsi="Arial" w:cs="Arial"/>
          <w:i/>
        </w:rPr>
        <w:t>Saprolegnia</w:t>
      </w:r>
      <w:r>
        <w:rPr>
          <w:rFonts w:ascii="Arial" w:hAnsi="Arial" w:cs="Arial"/>
        </w:rPr>
        <w:t xml:space="preserve"> were both linked to induction of inflammatory responses (e.</w:t>
      </w:r>
      <w:r>
        <w:rPr>
          <w:rFonts w:ascii="Arial" w:hAnsi="Arial" w:cs="Arial"/>
        </w:rPr>
        <w:t xml:space="preserve">g. T3; leukocyte chemotaxis involved in inflammatory response, T4; inflammatory response to wounding, Fc receptor signalling pathway). By defining gene co-expression networks (13 modules) in salmon, six modules were significantly associated with </w:t>
      </w:r>
      <w:r>
        <w:rPr>
          <w:rFonts w:ascii="Arial" w:hAnsi="Arial" w:cs="Arial"/>
          <w:i/>
        </w:rPr>
        <w:t>Saprolegni</w:t>
      </w:r>
      <w:r>
        <w:rPr>
          <w:rFonts w:ascii="Arial" w:hAnsi="Arial" w:cs="Arial"/>
          <w:i/>
        </w:rPr>
        <w:t>a</w:t>
      </w:r>
      <w:r>
        <w:rPr>
          <w:rFonts w:ascii="Arial" w:hAnsi="Arial" w:cs="Arial"/>
        </w:rPr>
        <w:t xml:space="preserve"> status and were preserved in tilapia (Table S2). Of the three salmon modules negatively associated with </w:t>
      </w:r>
      <w:r>
        <w:rPr>
          <w:rFonts w:ascii="Arial" w:hAnsi="Arial" w:cs="Arial"/>
          <w:i/>
        </w:rPr>
        <w:t>Saprolegnia</w:t>
      </w:r>
      <w:r>
        <w:rPr>
          <w:rFonts w:ascii="Arial" w:hAnsi="Arial" w:cs="Arial"/>
        </w:rPr>
        <w:t xml:space="preserve"> challenge (S1, S2, S3), module S1 and S3 were significantly enriched for biological processes related to leukocyte migration and activatio</w:t>
      </w:r>
      <w:r>
        <w:rPr>
          <w:rFonts w:ascii="Arial" w:hAnsi="Arial" w:cs="Arial"/>
        </w:rPr>
        <w:t>n (e.g. S1; leukocyte chemotaxis involved in inflammatory response, S3; regulation of leukocyte activation, leukocyte chemotaxis, Table S2). No immune-related enrichment was detected in module S2. Salmon modules S4, S5, and S6 were positively correlated wi</w:t>
      </w:r>
      <w:r>
        <w:rPr>
          <w:rFonts w:ascii="Arial" w:hAnsi="Arial" w:cs="Arial"/>
        </w:rPr>
        <w:t xml:space="preserve">th </w:t>
      </w:r>
      <w:r>
        <w:rPr>
          <w:rFonts w:ascii="Arial" w:hAnsi="Arial" w:cs="Arial"/>
          <w:i/>
        </w:rPr>
        <w:t xml:space="preserve">Saprolegnia </w:t>
      </w:r>
      <w:r>
        <w:rPr>
          <w:rFonts w:ascii="Arial" w:hAnsi="Arial" w:cs="Arial"/>
        </w:rPr>
        <w:t xml:space="preserve">status, all of which were found to have GO enrichment of immune pathway activation (e.g. S4; MyD88-independent toll-like receptor signalling, S5; interleukin-6 secretion, S6; complement activation, Table S2). Although in both species single </w:t>
      </w:r>
      <w:r>
        <w:rPr>
          <w:rFonts w:ascii="Arial" w:hAnsi="Arial" w:cs="Arial"/>
        </w:rPr>
        <w:t xml:space="preserve">gene modules were found to be associated with density and </w:t>
      </w:r>
      <w:r>
        <w:rPr>
          <w:rFonts w:ascii="Arial" w:hAnsi="Arial" w:cs="Arial"/>
          <w:i/>
        </w:rPr>
        <w:t>Saprolegnia</w:t>
      </w:r>
      <w:r>
        <w:rPr>
          <w:rFonts w:ascii="Arial" w:hAnsi="Arial" w:cs="Arial"/>
        </w:rPr>
        <w:t>, neither were significantly preserved in the other species.</w:t>
      </w:r>
    </w:p>
    <w:p w:rsidR="009F456E" w:rsidRDefault="009F456E">
      <w:pPr>
        <w:spacing w:line="480" w:lineRule="auto"/>
        <w:jc w:val="both"/>
        <w:rPr>
          <w:rFonts w:ascii="Arial" w:hAnsi="Arial" w:cs="Arial"/>
          <w:b/>
        </w:rPr>
      </w:pPr>
    </w:p>
    <w:p w:rsidR="009F456E" w:rsidRDefault="00157867">
      <w:pPr>
        <w:spacing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Table S2</w:t>
      </w:r>
    </w:p>
    <w:tbl>
      <w:tblPr>
        <w:tblW w:w="1010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6"/>
        <w:gridCol w:w="1060"/>
        <w:gridCol w:w="2900"/>
        <w:gridCol w:w="3720"/>
        <w:gridCol w:w="1640"/>
      </w:tblGrid>
      <w:tr w:rsidR="009F456E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9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Module</w:t>
            </w:r>
          </w:p>
        </w:tc>
        <w:tc>
          <w:tcPr>
            <w:tcW w:w="106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No. genes</w:t>
            </w:r>
          </w:p>
        </w:tc>
        <w:tc>
          <w:tcPr>
            <w:tcW w:w="2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Top Function</w:t>
            </w:r>
          </w:p>
        </w:tc>
        <w:tc>
          <w:tcPr>
            <w:tcW w:w="37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Immunity-associated functions</w:t>
            </w:r>
          </w:p>
        </w:tc>
        <w:tc>
          <w:tcPr>
            <w:tcW w:w="164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9F456E" w:rsidRDefault="00157867">
            <w:pPr>
              <w:spacing w:after="0" w:line="480" w:lineRule="auto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Preservation  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Z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eastAsia="en-GB"/>
              </w:rPr>
              <w:t>summary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0236" w:type="dxa"/>
            <w:gridSpan w:val="5"/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Tilapia modules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T1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1754</w:t>
            </w:r>
          </w:p>
        </w:tc>
        <w:tc>
          <w:tcPr>
            <w:tcW w:w="29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Cell adhesion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Antigen processing and presentation, immune response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7.3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T2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1005</w:t>
            </w:r>
          </w:p>
        </w:tc>
        <w:tc>
          <w:tcPr>
            <w:tcW w:w="290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Heme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biosynthetic process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TLR2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INFy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pathway, leukocyte activation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4.4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792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T3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3309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Oxidation-reduction process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Neutrophil homeostasis,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leukocyte chemotaxis involved in inflammatory response, T cell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costimulation</w:t>
            </w:r>
            <w:proofErr w:type="spellEnd"/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21.0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792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T4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1073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Spliceosomal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snRNP assembly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Circadian regulation of gene expression, inflammatory response to wounding, Fc receptor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15.0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0236" w:type="dxa"/>
            <w:gridSpan w:val="5"/>
            <w:shd w:val="clear" w:color="auto" w:fill="D9D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n-GB"/>
              </w:rPr>
              <w:t>Salmon modules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1584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S1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991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Muscle structure development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leukocyte chemotaxis involved in inflammatory response, leukocyte chemotaxis involved in immune response, dendritic cell chemotaxis, neutrophil chemotaxis, leukocyte migration involved in immune response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3.9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S2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128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ARF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protein signal transduction</w:t>
            </w:r>
          </w:p>
        </w:tc>
        <w:tc>
          <w:tcPr>
            <w:tcW w:w="372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N/A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2.2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1320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S3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810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Developmental process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response to wounding, neutrophil migration, granulocyte migration, B cell homeostasis, mast cell proliferation, regulation of leukocyte activation, leukocyte chemotaxis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10.0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1320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lastRenderedPageBreak/>
              <w:t>S4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479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Translation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immune system process, type I interferon production, MyD88-independent toll-like receptor signalling, innate immune response activating cell surface receptor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8.1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1320"/>
          <w:jc w:val="center"/>
        </w:trPr>
        <w:tc>
          <w:tcPr>
            <w:tcW w:w="916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S5</w:t>
            </w:r>
          </w:p>
        </w:tc>
        <w:tc>
          <w:tcPr>
            <w:tcW w:w="106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2498</w:t>
            </w:r>
          </w:p>
        </w:tc>
        <w:tc>
          <w:tcPr>
            <w:tcW w:w="29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Oxidation-reduction process</w:t>
            </w:r>
          </w:p>
        </w:tc>
        <w:tc>
          <w:tcPr>
            <w:tcW w:w="37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Fc-epsilon receptor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pathway, immune response-regulating cell surface receptor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signaling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 xml:space="preserve"> pathway, T cell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costimulation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, leukocyte migration, interleukin-6 secretion</w:t>
            </w:r>
          </w:p>
        </w:tc>
        <w:tc>
          <w:tcPr>
            <w:tcW w:w="164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22.0</w:t>
            </w:r>
          </w:p>
        </w:tc>
      </w:tr>
      <w:tr w:rsidR="009F456E">
        <w:tblPrEx>
          <w:tblCellMar>
            <w:top w:w="0" w:type="dxa"/>
            <w:bottom w:w="0" w:type="dxa"/>
          </w:tblCellMar>
        </w:tblPrEx>
        <w:trPr>
          <w:trHeight w:val="528"/>
          <w:jc w:val="center"/>
        </w:trPr>
        <w:tc>
          <w:tcPr>
            <w:tcW w:w="916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S6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541</w:t>
            </w:r>
          </w:p>
        </w:tc>
        <w:tc>
          <w:tcPr>
            <w:tcW w:w="290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Tetrapyrrole biosynthetic process</w:t>
            </w:r>
          </w:p>
        </w:tc>
        <w:tc>
          <w:tcPr>
            <w:tcW w:w="372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immune system development, complement activation</w:t>
            </w:r>
          </w:p>
        </w:tc>
        <w:tc>
          <w:tcPr>
            <w:tcW w:w="1640" w:type="dxa"/>
            <w:tcBorders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F456E" w:rsidRDefault="001578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  <w:t>4.6</w:t>
            </w:r>
          </w:p>
        </w:tc>
      </w:tr>
    </w:tbl>
    <w:p w:rsidR="009F456E" w:rsidRDefault="009F456E">
      <w:pPr>
        <w:spacing w:line="480" w:lineRule="auto"/>
        <w:jc w:val="both"/>
        <w:rPr>
          <w:rFonts w:ascii="Arial" w:hAnsi="Arial" w:cs="Arial"/>
          <w:b/>
        </w:rPr>
      </w:pPr>
    </w:p>
    <w:p w:rsidR="009F456E" w:rsidRDefault="009F456E"/>
    <w:sectPr w:rsidR="009F456E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867" w:rsidRDefault="00157867">
      <w:pPr>
        <w:spacing w:after="0" w:line="240" w:lineRule="auto"/>
      </w:pPr>
      <w:r>
        <w:separator/>
      </w:r>
    </w:p>
  </w:endnote>
  <w:endnote w:type="continuationSeparator" w:id="0">
    <w:p w:rsidR="00157867" w:rsidRDefault="00157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867" w:rsidRDefault="0015786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57867" w:rsidRDefault="001578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F456E"/>
    <w:rsid w:val="00157867"/>
    <w:rsid w:val="009E19DF"/>
    <w:rsid w:val="009F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8119EB-D121-491C-9947-578CD0FF8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paragraph" w:styleId="BalloonText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Ellison</dc:creator>
  <dc:description/>
  <cp:lastModifiedBy>Amy Ellison</cp:lastModifiedBy>
  <cp:revision>2</cp:revision>
  <dcterms:created xsi:type="dcterms:W3CDTF">2019-04-26T09:46:00Z</dcterms:created>
  <dcterms:modified xsi:type="dcterms:W3CDTF">2019-04-26T09:46:00Z</dcterms:modified>
</cp:coreProperties>
</file>